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 xml:space="preserve">7.2 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幼儿游戏的组织与指导策略（一）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>
            <w:pPr>
              <w:tabs>
                <w:tab w:val="left" w:pos="4869"/>
              </w:tabs>
              <w:spacing w:before="156" w:beforeLines="50"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cs="Times New Roman"/>
                <w:bCs/>
                <w:lang w:val="en-US" w:eastAsia="zh-CN"/>
              </w:rPr>
              <w:t>明确教师介入幼儿游戏的时机和方式，理解各年龄班幼儿游戏的发展规律。</w:t>
            </w:r>
          </w:p>
          <w:p>
            <w:pPr>
              <w:spacing w:line="360" w:lineRule="auto"/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cs="Times New Roman"/>
                <w:bCs/>
                <w:lang w:val="en-US" w:eastAsia="zh-CN"/>
              </w:rPr>
              <w:t>理解和掌握幼儿游戏的组织与指导策略，能运用游戏理论正确分析幼儿的游戏行为。</w:t>
            </w:r>
          </w:p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</w:t>
            </w:r>
            <w:r>
              <w:rPr>
                <w:rFonts w:hint="eastAsia"/>
                <w:b/>
                <w:lang w:val="en-US" w:eastAsia="zh-CN"/>
              </w:rPr>
              <w:t>：</w:t>
            </w:r>
            <w:r>
              <w:rPr>
                <w:rFonts w:hint="eastAsia" w:cs="Times New Roman"/>
                <w:bCs/>
                <w:lang w:val="en-US" w:eastAsia="zh-CN"/>
              </w:rPr>
              <w:t>萌发重视幼儿游戏的情感，能运用游戏理论正确分析幼儿的各类游戏。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明确教师介入幼儿游戏的时机和方式，理解各年龄班幼儿游戏的发展规律。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 w:cs="Times New Roman"/>
                <w:bCs/>
                <w:lang w:val="en-US" w:eastAsia="zh-CN"/>
              </w:rPr>
              <w:t>理解和掌握幼儿游戏的组织与指导策略，能运用游戏理论正确分析幼儿的游戏行为。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讲授法、小组讨论</w:t>
            </w:r>
            <w:r>
              <w:rPr>
                <w:rFonts w:hint="eastAsia"/>
              </w:rPr>
              <w:t>法、案例分析法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exact"/>
              <w:ind w:right="-105" w:rightChars="-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default" w:ascii="Arial" w:hAnsi="Arial" w:cs="Arial"/>
                <w:szCs w:val="21"/>
                <w:lang w:val="en-US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在“小超市”，售货员甜甜在“超市”里无聊的摆弄着货架上的瓶瓶罐罐，因为没有客人来光顾她的超市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这时，张老师进了小超市，“你好，我想要一瓶矿泉水和一袋饼干，一共多少钱？”张老师以一名顾客的身份问甜甜。“矿泉水是5元，饼干是10元。”甜甜说。“好的，给你20元。”张老师递给甜甜一张20元的代币，甜甜转身放入了收银盒。“售货员，你还没有找我零钱呢？”张老师追问。“对了，对了，得找钱。”甜甜拿过收银盒，认真地计算应找顾客多少钱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......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1.教师讲述案例“热闹的区域游戏”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lang w:val="en-US" w:eastAsia="zh-CN"/>
              </w:rPr>
              <w:t>启发学生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思考：教师如何指导幼儿的游戏活动才能更好地促进幼儿游戏水平的提高？</w:t>
            </w:r>
          </w:p>
          <w:p>
            <w:pPr>
              <w:spacing w:before="156" w:beforeLines="50" w:line="360" w:lineRule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3.引导学生围绕对问题的思考展开交流讨论。</w:t>
            </w:r>
          </w:p>
          <w:p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9" w:type="dxa"/>
          </w:tcPr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通过情景导入和问题思考，激发学生为学习幼儿游戏的相关知识奠定基础，帮助学生初步了解幼儿游戏的组织与指导策略。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一、尊重幼儿游戏的自主性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教师对幼儿游戏的指导必须以保证体现幼儿游戏的特点、不违背幼儿游戏的意愿为前提，才能更好地促进幼儿游戏水平的提高。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如何充分发挥幼儿在游戏中的自主性？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1.尊重幼儿游戏的意愿和兴趣。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2.尊重幼儿游戏中的想象、探索、表现、创造。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二、以间接指导为主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教师讲解</w:t>
            </w:r>
            <w:r>
              <w:rPr>
                <w:rFonts w:hint="eastAsia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在幼儿园教育中，较之于“直接教”，更多使用“间接教”的方式，这是幼儿园教育的特点之一。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幼儿游戏的间接指导可以从哪些方面着手进行指导？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eastAsia" w:ascii="宋体" w:hAnsi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1.丰富幼儿的生活经验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cs="宋体"/>
                <w:bCs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lang w:val="en-US" w:eastAsia="zh-CN"/>
              </w:rPr>
              <w:t>2.观察并合理参与幼儿游戏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。</w:t>
            </w:r>
          </w:p>
          <w:p>
            <w:pPr>
              <w:spacing w:line="360" w:lineRule="auto"/>
              <w:rPr>
                <w:rFonts w:hint="default" w:ascii="宋体" w:hAnsi="宋体" w:cs="宋体"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lang w:val="en-US" w:eastAsia="zh-CN"/>
              </w:rPr>
              <w:t>3.适时适当地介入幼儿游戏。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1.结合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幼儿游戏</w:t>
            </w:r>
            <w:r>
              <w:rPr>
                <w:rFonts w:hint="eastAsia" w:ascii="宋体" w:hAnsi="宋体" w:cs="宋体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规律与特点，</w:t>
            </w:r>
            <w:r>
              <w:rPr>
                <w:rFonts w:hint="eastAsia" w:ascii="宋体" w:hAnsi="宋体" w:cs="宋体"/>
                <w:lang w:val="en-US" w:eastAsia="zh-CN"/>
              </w:rPr>
              <w:t>帮助学生初步了解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幼儿游戏</w:t>
            </w:r>
            <w:r>
              <w:rPr>
                <w:rFonts w:hint="eastAsia" w:ascii="宋体" w:hAnsi="宋体" w:cs="宋体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指导</w:t>
            </w:r>
            <w:r>
              <w:rPr>
                <w:rFonts w:hint="eastAsia" w:ascii="宋体" w:hAnsi="宋体" w:cs="宋体"/>
                <w:lang w:val="en-US" w:eastAsia="zh-CN"/>
              </w:rPr>
              <w:t>要点。</w:t>
            </w:r>
          </w:p>
          <w:p>
            <w:pPr>
              <w:spacing w:line="360" w:lineRule="auto"/>
              <w:rPr>
                <w:rFonts w:hint="default" w:ascii="宋体" w:hAnsi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宋体" w:hAnsi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2.师生共同总结梳理对幼儿游戏的观察方法。</w:t>
            </w:r>
          </w:p>
          <w:p>
            <w:pPr>
              <w:spacing w:line="360" w:lineRule="auto"/>
              <w:rPr>
                <w:rFonts w:hint="eastAsia" w:ascii="宋体" w:hAnsi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3.启发学生思考：当幼儿游戏进行不下去时，教师该如何加入？以什么样的方式加入幼儿游戏？</w:t>
            </w:r>
          </w:p>
          <w:p>
            <w:pPr>
              <w:spacing w:line="360" w:lineRule="auto"/>
              <w:rPr>
                <w:rFonts w:hint="default" w:ascii="宋体" w:hAnsi="宋体" w:cs="宋体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3.知识拓展：使学生进一步了解教师介入幼儿游戏的时机及介入方式。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结合幼儿在游戏中的各种问题，帮助学生进一步分析，明确教师介入幼儿游戏的时机和方式。教师一定要仔细观察，选择适宜的时机再介人。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bookmarkStart w:id="0" w:name="_Toc13759"/>
            <w:r>
              <w:rPr>
                <w:rFonts w:hint="eastAsia"/>
                <w:b/>
                <w:lang w:val="en-US" w:eastAsia="zh-CN"/>
              </w:rPr>
              <w:t>三、</w:t>
            </w:r>
            <w:bookmarkEnd w:id="0"/>
            <w:r>
              <w:rPr>
                <w:rFonts w:hint="eastAsia"/>
                <w:b/>
                <w:lang w:val="en-US" w:eastAsia="zh-CN"/>
              </w:rPr>
              <w:t>按幼儿游戏发展规律指导游戏</w:t>
            </w:r>
          </w:p>
          <w:p>
            <w:pPr>
              <w:spacing w:line="360" w:lineRule="auto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提问讨论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小、中、大班幼儿在开展游戏时有何区别？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如何指导不同年龄阶段的幼儿游戏？</w:t>
            </w:r>
          </w:p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  <w:lang w:val="en-US" w:eastAsia="zh-CN"/>
              </w:rPr>
              <w:t>教师</w:t>
            </w:r>
            <w:r>
              <w:rPr>
                <w:rFonts w:hint="eastAsia"/>
                <w:szCs w:val="21"/>
              </w:rPr>
              <w:t>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在不同年龄阶段幼儿游戏的发展水平不同，需要不同的指导方式，教师对幼儿游戏的指导应考虑这种发展。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1.小班：①目的性不强。②兴趣不稳定，持续时间短。③重内容，轻规则。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2.中班：①游戏水平极大提高。②幼儿的自主性与主动性进一步发展。③幼儿同伴交往需求与能力进一步发展。④幼儿想象的有意性水平提高。⑤幼儿的具体形象思维表现突出。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3.大班：①幼儿游戏的自我评价能力逐步提升。②幼儿的合作意识逐渐增强③幼儿的规则意识逐渐形成。④幼儿的动作灵活，控制能力明显增强。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lang w:val="en-US" w:eastAsia="zh-CN"/>
              </w:rPr>
              <w:t>组织学生总结：小班幼儿大多处于无所事事、旁观或者独立游戏的状态；中班幼儿的动作能力有明显发展；大班幼儿的个性特征有了较明显的表现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。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结合不同年龄班幼儿游戏的特点及相关案例，帮助学生进一步理解小、中、大班幼儿游戏的特点及指导。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b/>
                <w:bCs/>
              </w:rPr>
            </w:pP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呈现幼儿园游戏案例，结合相关游戏理论启发学生分析思考。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</w:p>
          <w:p>
            <w:pPr>
              <w:spacing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分析讨论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案例中的教师是如何指导幼儿游戏的？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结合所学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幼儿游戏理论进行习题巩固</w:t>
            </w:r>
            <w:r>
              <w:rPr>
                <w:rFonts w:hint="eastAsia" w:cs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>
            <w:pPr>
              <w:spacing w:before="156" w:beforeLines="50" w:line="360" w:lineRule="auto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总结回顾幼儿游戏的组织与指导策略的相关内容，帮助学生进一步理解。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1.组织学生梳理本节课的知识框架图，背诵知识点。</w:t>
            </w:r>
          </w:p>
          <w:p>
            <w:pPr>
              <w:spacing w:line="360" w:lineRule="auto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2.完成课后思考题。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eastAsia="宋体" w:cs="宋体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3985260" cy="1115060"/>
                  <wp:effectExtent l="0" t="0" r="2540" b="2540"/>
                  <wp:docPr id="1" name="图片 1" descr="1737206892561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737206892561(1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526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bookmarkStart w:id="1" w:name="_GoBack"/>
            <w:bookmarkEnd w:id="1"/>
          </w:p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ZmM1NWJlMzdjYjJlMTg2MmJjNmZjNGZkMzEwYzE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72CA9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B65C33"/>
    <w:rsid w:val="05687CD1"/>
    <w:rsid w:val="06BE15D3"/>
    <w:rsid w:val="09BB563C"/>
    <w:rsid w:val="0A195A3E"/>
    <w:rsid w:val="0AA65B16"/>
    <w:rsid w:val="0AE82248"/>
    <w:rsid w:val="0C0D512F"/>
    <w:rsid w:val="0C1701C4"/>
    <w:rsid w:val="0C192364"/>
    <w:rsid w:val="0C7E427E"/>
    <w:rsid w:val="0C994C14"/>
    <w:rsid w:val="0D184421"/>
    <w:rsid w:val="108B0D18"/>
    <w:rsid w:val="13DD0F46"/>
    <w:rsid w:val="16157A01"/>
    <w:rsid w:val="17161C69"/>
    <w:rsid w:val="176F0DBB"/>
    <w:rsid w:val="19B412DF"/>
    <w:rsid w:val="1A7D3DC7"/>
    <w:rsid w:val="1BDD2D6F"/>
    <w:rsid w:val="1EDA43A4"/>
    <w:rsid w:val="1F1F544D"/>
    <w:rsid w:val="1FFB7C68"/>
    <w:rsid w:val="208337BA"/>
    <w:rsid w:val="212E7DED"/>
    <w:rsid w:val="2221328A"/>
    <w:rsid w:val="227E06DD"/>
    <w:rsid w:val="24123424"/>
    <w:rsid w:val="241A2832"/>
    <w:rsid w:val="24F20F0E"/>
    <w:rsid w:val="253432D4"/>
    <w:rsid w:val="257D111F"/>
    <w:rsid w:val="25B54415"/>
    <w:rsid w:val="26840696"/>
    <w:rsid w:val="27FB01B7"/>
    <w:rsid w:val="28E868B0"/>
    <w:rsid w:val="2A2110D7"/>
    <w:rsid w:val="2A2C7C68"/>
    <w:rsid w:val="2A957899"/>
    <w:rsid w:val="2B14398C"/>
    <w:rsid w:val="2B91322F"/>
    <w:rsid w:val="2BB802F0"/>
    <w:rsid w:val="2CB01DDA"/>
    <w:rsid w:val="2EEB0EA8"/>
    <w:rsid w:val="30D50061"/>
    <w:rsid w:val="3179279B"/>
    <w:rsid w:val="3294089B"/>
    <w:rsid w:val="33FD3B57"/>
    <w:rsid w:val="34067ED5"/>
    <w:rsid w:val="345B2E68"/>
    <w:rsid w:val="353115DE"/>
    <w:rsid w:val="3592207D"/>
    <w:rsid w:val="36274EBB"/>
    <w:rsid w:val="37EA54B4"/>
    <w:rsid w:val="39383DA8"/>
    <w:rsid w:val="39A46416"/>
    <w:rsid w:val="3A443B62"/>
    <w:rsid w:val="3AE631F5"/>
    <w:rsid w:val="3BD038FF"/>
    <w:rsid w:val="3F5B7984"/>
    <w:rsid w:val="3F9966FE"/>
    <w:rsid w:val="3FEB399D"/>
    <w:rsid w:val="40AB0497"/>
    <w:rsid w:val="444255B6"/>
    <w:rsid w:val="463F0290"/>
    <w:rsid w:val="467D0B27"/>
    <w:rsid w:val="47E524E0"/>
    <w:rsid w:val="49210120"/>
    <w:rsid w:val="4942666E"/>
    <w:rsid w:val="496F4F30"/>
    <w:rsid w:val="4ACB00B3"/>
    <w:rsid w:val="4B0E1D4E"/>
    <w:rsid w:val="4B7238F6"/>
    <w:rsid w:val="4C5F5568"/>
    <w:rsid w:val="4C8639AA"/>
    <w:rsid w:val="4CD945DE"/>
    <w:rsid w:val="4F65201A"/>
    <w:rsid w:val="4F672375"/>
    <w:rsid w:val="4FA738E7"/>
    <w:rsid w:val="51A0391C"/>
    <w:rsid w:val="54A0435F"/>
    <w:rsid w:val="559E6310"/>
    <w:rsid w:val="58474AF1"/>
    <w:rsid w:val="5A5D3971"/>
    <w:rsid w:val="5AD308BE"/>
    <w:rsid w:val="5F2711D9"/>
    <w:rsid w:val="60B71E7B"/>
    <w:rsid w:val="619C7C5C"/>
    <w:rsid w:val="6232236E"/>
    <w:rsid w:val="62353C0D"/>
    <w:rsid w:val="625642AF"/>
    <w:rsid w:val="63640C4D"/>
    <w:rsid w:val="63D75790"/>
    <w:rsid w:val="67544B35"/>
    <w:rsid w:val="683D123A"/>
    <w:rsid w:val="69114EF8"/>
    <w:rsid w:val="699D09D8"/>
    <w:rsid w:val="6BA0659B"/>
    <w:rsid w:val="6C2645DB"/>
    <w:rsid w:val="6D4F64CA"/>
    <w:rsid w:val="6EE3336E"/>
    <w:rsid w:val="7122695C"/>
    <w:rsid w:val="72DE1CA2"/>
    <w:rsid w:val="73816CB2"/>
    <w:rsid w:val="76E140DF"/>
    <w:rsid w:val="77955421"/>
    <w:rsid w:val="79725A1A"/>
    <w:rsid w:val="799E680F"/>
    <w:rsid w:val="7A1C1079"/>
    <w:rsid w:val="7A272C34"/>
    <w:rsid w:val="7A85177D"/>
    <w:rsid w:val="7B364826"/>
    <w:rsid w:val="7C2154D6"/>
    <w:rsid w:val="7D6D1156"/>
    <w:rsid w:val="7E8B4E88"/>
    <w:rsid w:val="7EF46ED2"/>
    <w:rsid w:val="7F3948E4"/>
    <w:rsid w:val="7FC93E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autoRedefine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autoRedefine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1581</Words>
  <Characters>1606</Characters>
  <Lines>13</Lines>
  <Paragraphs>3</Paragraphs>
  <TotalTime>34</TotalTime>
  <ScaleCrop>false</ScaleCrop>
  <LinksUpToDate>false</LinksUpToDate>
  <CharactersWithSpaces>1609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夏</cp:lastModifiedBy>
  <dcterms:modified xsi:type="dcterms:W3CDTF">2025-01-18T13:28:29Z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22EC3749C14040F5856E4CC91FC02A68_13</vt:lpwstr>
  </property>
  <property fmtid="{D5CDD505-2E9C-101B-9397-08002B2CF9AE}" pid="4" name="KSOTemplateDocerSaveRecord">
    <vt:lpwstr>eyJoZGlkIjoiOGI1ZjExYWQ3YTg1OTEzYWI0ZjdhM2MzZWQ2NGZlNmYiLCJ1c2VySWQiOiI4NjI2MDYxMzQifQ==</vt:lpwstr>
  </property>
</Properties>
</file>